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Xl442"/>
        <w:suppressAutoHyphens w:val="true"/>
        <w:spacing w:beforeAutospacing="0" w:before="0" w:afterAutospacing="0" w:after="0"/>
        <w:jc w:val="center"/>
        <w:rPr>
          <w:rFonts w:ascii="Calibri" w:hAnsi="Calibri" w:eastAsia="Calibri" w:asciiTheme="minorHAnsi" w:hAnsiTheme="minorHAnsi"/>
          <w:bCs w:val="false"/>
          <w:szCs w:val="22"/>
          <w:lang w:eastAsia="en-US"/>
        </w:rPr>
      </w:pPr>
      <w:r>
        <w:rPr>
          <w:rFonts w:eastAsia="Calibri" w:ascii="Calibri" w:hAnsi="Calibri" w:asciiTheme="minorHAnsi" w:hAnsiTheme="minorHAnsi"/>
          <w:bCs w:val="false"/>
          <w:szCs w:val="22"/>
          <w:lang w:eastAsia="en-US"/>
        </w:rPr>
        <w:t>Sylabus</w:t>
      </w:r>
    </w:p>
    <w:p>
      <w:pPr>
        <w:pStyle w:val="Normal"/>
        <w:rPr>
          <w:rFonts w:ascii="Calibri" w:hAnsi="Calibri" w:asciiTheme="minorHAnsi" w:hAnsiTheme="minorHAnsi"/>
        </w:rPr>
      </w:pPr>
      <w:r>
        <w:rPr>
          <w:rFonts w:asciiTheme="minorHAnsi" w:hAnsiTheme="minorHAnsi" w:ascii="Calibri" w:hAnsi="Calibri"/>
        </w:rPr>
      </w:r>
    </w:p>
    <w:tbl>
      <w:tblPr>
        <w:tblW w:w="9960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27"/>
        <w:gridCol w:w="507"/>
        <w:gridCol w:w="116"/>
        <w:gridCol w:w="960"/>
        <w:gridCol w:w="29"/>
        <w:gridCol w:w="592"/>
        <w:gridCol w:w="142"/>
        <w:gridCol w:w="52"/>
        <w:gridCol w:w="787"/>
        <w:gridCol w:w="11"/>
        <w:gridCol w:w="425"/>
        <w:gridCol w:w="352"/>
        <w:gridCol w:w="215"/>
        <w:gridCol w:w="573"/>
        <w:gridCol w:w="70"/>
        <w:gridCol w:w="396"/>
        <w:gridCol w:w="100"/>
        <w:gridCol w:w="567"/>
        <w:gridCol w:w="137"/>
        <w:gridCol w:w="335"/>
        <w:gridCol w:w="374"/>
        <w:gridCol w:w="87"/>
        <w:gridCol w:w="23"/>
        <w:gridCol w:w="31"/>
        <w:gridCol w:w="289"/>
        <w:gridCol w:w="695"/>
        <w:gridCol w:w="8"/>
        <w:gridCol w:w="232"/>
        <w:gridCol w:w="545"/>
        <w:gridCol w:w="646"/>
        <w:gridCol w:w="36"/>
      </w:tblGrid>
      <w:tr>
        <w:trPr>
          <w:trHeight w:val="397" w:hRule="atLeast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16"/>
                <w:szCs w:val="16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16"/>
                <w:szCs w:val="16"/>
                <w:lang w:eastAsia="en-US"/>
              </w:rPr>
              <w:t>Kod przedmiotu</w:t>
            </w:r>
          </w:p>
        </w:tc>
        <w:tc>
          <w:tcPr>
            <w:tcW w:w="16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left="-113" w:right="-178" w:hanging="0"/>
              <w:rPr>
                <w:rFonts w:ascii="Calibri" w:hAnsi="Calibri" w:eastAsia="Calibri" w:asciiTheme="minorHAnsi" w:hAnsiTheme="minorHAnsi"/>
                <w:sz w:val="16"/>
                <w:szCs w:val="16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16"/>
                <w:szCs w:val="16"/>
                <w:lang w:eastAsia="en-US"/>
              </w:rPr>
              <w:t>04.5_Z2PN_Cpeaz0319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16"/>
                <w:szCs w:val="16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16"/>
                <w:szCs w:val="16"/>
                <w:lang w:eastAsia="en-US"/>
              </w:rPr>
              <w:t>Nazwa przedmiotu</w:t>
            </w:r>
          </w:p>
        </w:tc>
        <w:tc>
          <w:tcPr>
            <w:tcW w:w="613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b/>
                <w:b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b/>
                <w:sz w:val="22"/>
                <w:szCs w:val="22"/>
                <w:lang w:eastAsia="en-US"/>
              </w:rPr>
              <w:t>Prawne i etyczne aspekty zarządzania organizacją</w:t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Nazwa przedmiotu w języku angielskim</w:t>
            </w:r>
          </w:p>
        </w:tc>
        <w:tc>
          <w:tcPr>
            <w:tcW w:w="613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HTMLPreformatted"/>
              <w:rPr>
                <w:rFonts w:ascii="Calibri" w:hAnsi="Calibri" w:asciiTheme="minorHAnsi" w:hAnsiTheme="minorHAnsi"/>
                <w:b/>
                <w:b/>
                <w:sz w:val="22"/>
                <w:szCs w:val="22"/>
                <w:lang w:val="en-GB"/>
              </w:rPr>
            </w:pPr>
            <w:r>
              <w:rPr>
                <w:rFonts w:ascii="Calibri" w:hAnsi="Calibri" w:asciiTheme="minorHAnsi" w:hAnsiTheme="minorHAnsi"/>
                <w:b/>
                <w:sz w:val="22"/>
                <w:szCs w:val="22"/>
                <w:lang w:val="en-US"/>
              </w:rPr>
              <w:t>Legal and ethical aspects of organization management</w:t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Wydział</w:t>
            </w:r>
          </w:p>
        </w:tc>
        <w:tc>
          <w:tcPr>
            <w:tcW w:w="613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Ekonomii i Zarządzania</w:t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Kierunek</w:t>
            </w:r>
          </w:p>
        </w:tc>
        <w:tc>
          <w:tcPr>
            <w:tcW w:w="613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Zarządzanie i coaching</w:t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Forma studiów</w:t>
            </w:r>
          </w:p>
        </w:tc>
        <w:tc>
          <w:tcPr>
            <w:tcW w:w="613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b/>
                <w:sz w:val="20"/>
                <w:szCs w:val="20"/>
                <w:lang w:eastAsia="en-US"/>
              </w:rPr>
              <w:t>Niestacjonarne</w:t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Poziom uczenia się</w:t>
            </w:r>
          </w:p>
        </w:tc>
        <w:tc>
          <w:tcPr>
            <w:tcW w:w="613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II stopień</w:t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Profil uczenia się</w:t>
            </w:r>
          </w:p>
        </w:tc>
        <w:tc>
          <w:tcPr>
            <w:tcW w:w="613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Praktyczny</w:t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Przynależność do grupy przedmiotów</w:t>
            </w:r>
          </w:p>
        </w:tc>
        <w:tc>
          <w:tcPr>
            <w:tcW w:w="613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Do wyboru</w:t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Przedmioty do wyboru w zakresie</w:t>
            </w:r>
          </w:p>
        </w:tc>
        <w:tc>
          <w:tcPr>
            <w:tcW w:w="613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Zarządzanie współczesną organizacją</w:t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Style w:val="Domylnaczcionkaakapitu1"/>
                <w:rFonts w:ascii="Calibri" w:hAnsi="Calibri" w:eastAsia="Calibri" w:cs="Verdana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Osoba odpowiedzialna za przedmiot</w:t>
            </w:r>
          </w:p>
        </w:tc>
        <w:tc>
          <w:tcPr>
            <w:tcW w:w="613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dr inż. Marcin Kłak</w:t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cs="Verdana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Osoby prowadzące zajęcia</w:t>
            </w:r>
          </w:p>
        </w:tc>
        <w:tc>
          <w:tcPr>
            <w:tcW w:w="613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snapToGrid w:val="false"/>
              <w:spacing w:lineRule="auto" w:line="240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dr inż. Marcin Kłak</w:t>
            </w:r>
          </w:p>
        </w:tc>
      </w:tr>
      <w:tr>
        <w:trPr>
          <w:trHeight w:val="288" w:hRule="atLeast"/>
          <w:cantSplit w:val="true"/>
        </w:trPr>
        <w:tc>
          <w:tcPr>
            <w:tcW w:w="2831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Forma prowadzenia zajęć</w:t>
            </w:r>
          </w:p>
        </w:tc>
        <w:tc>
          <w:tcPr>
            <w:tcW w:w="99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W</w:t>
            </w:r>
          </w:p>
        </w:tc>
        <w:tc>
          <w:tcPr>
            <w:tcW w:w="613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Zajęcia kształtujące umiejętności praktyczne</w:t>
            </w:r>
          </w:p>
        </w:tc>
      </w:tr>
      <w:tr>
        <w:trPr>
          <w:trHeight w:val="288" w:hRule="atLeast"/>
          <w:cantSplit w:val="true"/>
        </w:trPr>
        <w:tc>
          <w:tcPr>
            <w:tcW w:w="2831" w:type="dxa"/>
            <w:gridSpan w:val="6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992" w:type="dxa"/>
            <w:gridSpan w:val="4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Ć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K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ZP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Wa</w:t>
            </w:r>
          </w:p>
        </w:tc>
        <w:tc>
          <w:tcPr>
            <w:tcW w:w="12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Pr</w:t>
            </w:r>
          </w:p>
        </w:tc>
        <w:tc>
          <w:tcPr>
            <w:tcW w:w="14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Inne- jakie:</w:t>
            </w:r>
          </w:p>
        </w:tc>
        <w:tc>
          <w:tcPr>
            <w:tcW w:w="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61" w:hRule="atLeast"/>
        </w:trPr>
        <w:tc>
          <w:tcPr>
            <w:tcW w:w="28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Liczba godzin zajęć w sem.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12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2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61" w:hRule="atLeas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Legenda: W – wykład, Ć – ćwiczenia, K- konwersatorium, L – laboratorium, P – projekt, Wa – warsztaty, ZP – zajęcia praktyczne, Pr – praktyka</w:t>
            </w:r>
          </w:p>
        </w:tc>
      </w:tr>
      <w:tr>
        <w:trPr>
          <w:trHeight w:val="361" w:hRule="atLeast"/>
        </w:trPr>
        <w:tc>
          <w:tcPr>
            <w:tcW w:w="28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Semestr(y) zajęć dla kierunku uczenia się</w:t>
            </w:r>
          </w:p>
        </w:tc>
        <w:tc>
          <w:tcPr>
            <w:tcW w:w="26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IV</w:t>
            </w:r>
          </w:p>
        </w:tc>
        <w:tc>
          <w:tcPr>
            <w:tcW w:w="20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Liczba punktów ECTS za przedmiot</w:t>
            </w:r>
          </w:p>
        </w:tc>
        <w:tc>
          <w:tcPr>
            <w:tcW w:w="24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3</w:t>
            </w:r>
          </w:p>
        </w:tc>
      </w:tr>
      <w:tr>
        <w:trPr>
          <w:trHeight w:val="361" w:hRule="atLeast"/>
        </w:trPr>
        <w:tc>
          <w:tcPr>
            <w:tcW w:w="28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Status przedmiotu</w:t>
            </w:r>
          </w:p>
        </w:tc>
        <w:tc>
          <w:tcPr>
            <w:tcW w:w="26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 xml:space="preserve">obowiązkowy w ramach specjalności </w:t>
            </w:r>
          </w:p>
        </w:tc>
        <w:tc>
          <w:tcPr>
            <w:tcW w:w="20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Język wykładowy</w:t>
            </w:r>
          </w:p>
        </w:tc>
        <w:tc>
          <w:tcPr>
            <w:tcW w:w="24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polski</w:t>
            </w:r>
          </w:p>
        </w:tc>
      </w:tr>
      <w:tr>
        <w:trPr>
          <w:trHeight w:val="361" w:hRule="atLeast"/>
        </w:trPr>
        <w:tc>
          <w:tcPr>
            <w:tcW w:w="28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712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Podstawowa wiedza z zakresu prawa oraz etyki biznesu.</w:t>
            </w:r>
          </w:p>
        </w:tc>
      </w:tr>
      <w:tr>
        <w:trPr>
          <w:trHeight w:val="288" w:hRule="atLeas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both"/>
              <w:rPr>
                <w:rFonts w:ascii="Calibri" w:hAnsi="Calibri" w:eastAsia="Calibri" w:asciiTheme="minorHAnsi" w:hAnsiTheme="minorHAns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b/>
                <w:sz w:val="20"/>
                <w:szCs w:val="20"/>
                <w:lang w:eastAsia="en-US"/>
              </w:rPr>
              <w:t>Cele uczenia się</w:t>
            </w:r>
          </w:p>
          <w:p>
            <w:pPr>
              <w:pStyle w:val="Normal"/>
              <w:suppressAutoHyphens w:val="false"/>
              <w:jc w:val="both"/>
              <w:rPr>
                <w:rFonts w:ascii="Calibri" w:hAnsi="Calibri" w:eastAsia="Calibri" w:asciiTheme="minorHAnsi" w:hAnsiTheme="minorHAns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Celem przedmiotu jest przedstawienie prawnych i etycznych / moralnych aspektów maj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ą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cych zastosowanie w poszczególnych obszarach działalno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ś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ci organizacji w jej otoczeniu. Umiej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ę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tno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 xml:space="preserve">ść 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zastosowania zasad prawnych i wymogów etycznych, pozwalaj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ą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cych na trafn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 xml:space="preserve">ą 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ocen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 xml:space="preserve">ę 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pod wzgl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ę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dem legalnym i moralnym podejmowanych przez organizację decyzji w zakresie jej funkcjonowania.</w:t>
            </w:r>
          </w:p>
        </w:tc>
      </w:tr>
      <w:tr>
        <w:trPr>
          <w:trHeight w:val="288" w:hRule="atLeas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Metody dydaktyczne stosowane w celu osiągnięcia zakładanych efektów uczenia się </w:t>
            </w:r>
          </w:p>
          <w:p>
            <w:pPr>
              <w:pStyle w:val="Normal"/>
              <w:snapToGrid w:val="false"/>
              <w:rPr>
                <w:rStyle w:val="Domylnaczcionkaakapitu1"/>
                <w:rFonts w:ascii="Calibri" w:hAnsi="Calibri" w:eastAsia="Batang" w:asciiTheme="minorHAnsi" w:hAnsiTheme="minorHAnsi"/>
                <w:bCs/>
                <w:sz w:val="20"/>
                <w:szCs w:val="20"/>
              </w:rPr>
            </w:pPr>
            <w:r>
              <w:rPr>
                <w:rStyle w:val="Domylnaczcionkaakapitu1"/>
                <w:rFonts w:eastAsia="Batang" w:ascii="Calibri" w:hAnsi="Calibri" w:asciiTheme="minorHAnsi" w:hAnsiTheme="minorHAnsi"/>
                <w:bCs/>
                <w:sz w:val="20"/>
                <w:szCs w:val="20"/>
              </w:rPr>
              <w:t>- wykład konwersatoryjny z prezentacją multimedialną,</w:t>
            </w:r>
          </w:p>
          <w:p>
            <w:pPr>
              <w:pStyle w:val="Normal"/>
              <w:snapToGrid w:val="false"/>
              <w:rPr>
                <w:rStyle w:val="Domylnaczcionkaakapitu1"/>
                <w:rFonts w:ascii="Calibri" w:hAnsi="Calibri" w:eastAsia="Batang" w:asciiTheme="minorHAnsi" w:hAnsiTheme="minorHAnsi"/>
                <w:bCs/>
                <w:sz w:val="20"/>
                <w:szCs w:val="20"/>
              </w:rPr>
            </w:pPr>
            <w:r>
              <w:rPr>
                <w:rStyle w:val="Domylnaczcionkaakapitu1"/>
                <w:rFonts w:eastAsia="Batang" w:ascii="Calibri" w:hAnsi="Calibri" w:asciiTheme="minorHAnsi" w:hAnsiTheme="minorHAnsi"/>
                <w:bCs/>
                <w:sz w:val="20"/>
                <w:szCs w:val="20"/>
              </w:rPr>
              <w:t>- dyskusja,</w:t>
            </w:r>
          </w:p>
          <w:p>
            <w:pPr>
              <w:pStyle w:val="Normal"/>
              <w:snapToGrid w:val="false"/>
              <w:rPr>
                <w:rStyle w:val="Domylnaczcionkaakapitu1"/>
                <w:rFonts w:ascii="Calibri" w:hAnsi="Calibri" w:eastAsia="Batang" w:asciiTheme="minorHAnsi" w:hAnsiTheme="minorHAnsi"/>
                <w:bCs/>
                <w:sz w:val="20"/>
                <w:szCs w:val="20"/>
              </w:rPr>
            </w:pPr>
            <w:r>
              <w:rPr>
                <w:rStyle w:val="Domylnaczcionkaakapitu1"/>
                <w:rFonts w:eastAsia="Batang" w:ascii="Calibri" w:hAnsi="Calibri" w:asciiTheme="minorHAnsi" w:hAnsiTheme="minorHAnsi"/>
                <w:bCs/>
                <w:sz w:val="20"/>
                <w:szCs w:val="20"/>
              </w:rPr>
              <w:t>- praca w grupach,</w:t>
            </w:r>
          </w:p>
          <w:p>
            <w:pPr>
              <w:pStyle w:val="Normal"/>
              <w:snapToGrid w:val="false"/>
              <w:jc w:val="both"/>
              <w:rPr>
                <w:rFonts w:ascii="Calibri" w:hAnsi="Calibri" w:eastAsia="Calibri" w:asciiTheme="minorHAnsi" w:hAnsiTheme="minorHAnsi"/>
                <w:b/>
                <w:b/>
                <w:sz w:val="20"/>
                <w:szCs w:val="20"/>
                <w:lang w:eastAsia="en-US"/>
              </w:rPr>
            </w:pPr>
            <w:r>
              <w:rPr>
                <w:rStyle w:val="Domylnaczcionkaakapitu1"/>
                <w:rFonts w:eastAsia="Batang" w:ascii="Calibri" w:hAnsi="Calibri" w:asciiTheme="minorHAnsi" w:hAnsiTheme="minorHAnsi"/>
                <w:bCs/>
                <w:sz w:val="20"/>
                <w:szCs w:val="20"/>
              </w:rPr>
              <w:t>- studium przypadku.</w:t>
            </w:r>
          </w:p>
        </w:tc>
      </w:tr>
      <w:tr>
        <w:trPr>
          <w:trHeight w:val="397" w:hRule="atLeas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Style w:val="Domylnaczcionkaakapitu1"/>
                <w:rFonts w:eastAsia="Batang" w:ascii="Calibri" w:hAnsi="Calibri" w:asciiTheme="minorHAnsi" w:hAnsiTheme="minorHAnsi"/>
                <w:b/>
                <w:sz w:val="20"/>
                <w:szCs w:val="20"/>
              </w:rPr>
              <w:t>Opis efektów uczenia się</w:t>
            </w:r>
            <w:r>
              <w:rPr>
                <w:rStyle w:val="Domylnaczcionkaakapitu1"/>
                <w:rFonts w:eastAsia="Calibri" w:ascii="Calibri" w:hAnsi="Calibri" w:asciiTheme="minorHAnsi" w:hAnsiTheme="minorHAnsi"/>
                <w:b/>
                <w:sz w:val="20"/>
                <w:szCs w:val="20"/>
                <w:lang w:eastAsia="en-US"/>
              </w:rPr>
              <w:t xml:space="preserve"> dla przedmiotu </w:t>
            </w:r>
          </w:p>
        </w:tc>
      </w:tr>
      <w:tr>
        <w:trPr>
          <w:trHeight w:val="558" w:hRule="atLeast"/>
        </w:trPr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Efekt uczenia się</w:t>
            </w:r>
          </w:p>
        </w:tc>
        <w:tc>
          <w:tcPr>
            <w:tcW w:w="611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Student, który zaliczył przedmiot wie/umie/potrafi:</w:t>
            </w:r>
          </w:p>
        </w:tc>
        <w:tc>
          <w:tcPr>
            <w:tcW w:w="1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asciiTheme="minorHAnsi" w:hAnsiTheme="minorHAnsi"/>
                <w:sz w:val="18"/>
                <w:szCs w:val="18"/>
              </w:rPr>
            </w:pPr>
            <w:r>
              <w:rPr>
                <w:rFonts w:ascii="Calibri" w:hAnsi="Calibri" w:asciiTheme="minorHAnsi" w:hAnsiTheme="minorHAnsi"/>
                <w:sz w:val="18"/>
                <w:szCs w:val="18"/>
              </w:rPr>
              <w:t>SYMBOL (odniesienie do efektów kierunkowych)</w:t>
            </w: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asciiTheme="minorHAnsi" w:hAnsiTheme="minorHAnsi"/>
                <w:sz w:val="16"/>
                <w:szCs w:val="16"/>
              </w:rPr>
            </w:pPr>
            <w:r>
              <w:rPr>
                <w:rFonts w:ascii="Calibri" w:hAnsi="Calibri" w:asciiTheme="minorHAnsi" w:hAnsiTheme="minorHAnsi"/>
                <w:sz w:val="16"/>
                <w:szCs w:val="16"/>
              </w:rPr>
              <w:t>SYMBOL (odniesienie kierunkowych efektów uczenia się do charakterystyk drugiego stopnia dla: poziomu 7 Polskiej Ramy Kwalifikacji)*</w:t>
            </w:r>
          </w:p>
        </w:tc>
      </w:tr>
      <w:tr>
        <w:trPr>
          <w:trHeight w:val="284" w:hRule="atLeas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WIEDZA</w:t>
            </w:r>
          </w:p>
        </w:tc>
      </w:tr>
      <w:tr>
        <w:trPr>
          <w:trHeight w:val="284" w:hRule="atLeast"/>
        </w:trPr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620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jc w:val="both"/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Posiada wiedz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 xml:space="preserve">ę 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w zakresie procesów zachodz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ą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cych w otoczeniu organizacji dotycz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ą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cych jej etycznego funkcjonowania oraz uregulowa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 xml:space="preserve">ń 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prawnych w zakresie prowadzenia jej działalno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ś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ci w tym głównie procesu zarządzania.</w:t>
            </w:r>
          </w:p>
        </w:tc>
        <w:tc>
          <w:tcPr>
            <w:tcW w:w="12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ZWO_W01</w:t>
            </w:r>
          </w:p>
          <w:p>
            <w:pPr>
              <w:pStyle w:val="Normal"/>
              <w:jc w:val="center"/>
              <w:rPr>
                <w:rFonts w:ascii="Calibri" w:hAnsi="Calibri" w:asciiTheme="minorHAnsi" w:hAnsiTheme="minorHAnsi"/>
                <w:color w:val="FF0000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ZWO_W04</w:t>
            </w: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P7S_WG</w:t>
            </w:r>
          </w:p>
          <w:p>
            <w:pPr>
              <w:pStyle w:val="Normal"/>
              <w:jc w:val="center"/>
              <w:rPr>
                <w:rFonts w:ascii="Calibri" w:hAnsi="Calibri" w:asciiTheme="minorHAnsi" w:hAnsiTheme="minorHAnsi"/>
                <w:color w:val="FF0000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P7S_WK</w:t>
            </w:r>
          </w:p>
        </w:tc>
      </w:tr>
      <w:tr>
        <w:trPr>
          <w:trHeight w:val="284" w:hRule="atLeast"/>
        </w:trPr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620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jc w:val="both"/>
              <w:rPr>
                <w:rFonts w:ascii="Calibri" w:hAnsi="Calibri" w:asciiTheme="minorHAnsi" w:hAnsiTheme="minorHAnsi"/>
                <w:color w:val="1A171B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Rozumie potrzeb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 xml:space="preserve">ę 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stosowania i wdra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ż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ania podstawowych zasad moralnych i etycznych w procesie zarządzania organizacją. Akceptuje uwarunkowania prawne i normy etyczne wskazane w kodeksach etycznych i moralnych oraz przepisach prawnych.</w:t>
            </w:r>
          </w:p>
        </w:tc>
        <w:tc>
          <w:tcPr>
            <w:tcW w:w="12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ZWO_W01</w:t>
            </w:r>
          </w:p>
          <w:p>
            <w:pPr>
              <w:pStyle w:val="Normal"/>
              <w:jc w:val="center"/>
              <w:rPr>
                <w:rFonts w:ascii="Calibri" w:hAnsi="Calibri" w:asciiTheme="minorHAnsi" w:hAnsiTheme="minorHAnsi"/>
                <w:color w:val="FF0000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ZWO_W04</w:t>
            </w: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P7S_WG</w:t>
            </w:r>
          </w:p>
          <w:p>
            <w:pPr>
              <w:pStyle w:val="Normal"/>
              <w:jc w:val="center"/>
              <w:rPr>
                <w:rFonts w:ascii="Calibri" w:hAnsi="Calibri" w:asciiTheme="minorHAnsi" w:hAnsiTheme="minorHAnsi"/>
                <w:color w:val="FF0000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P7S_WK</w:t>
            </w:r>
          </w:p>
        </w:tc>
      </w:tr>
      <w:tr>
        <w:trPr>
          <w:trHeight w:val="284" w:hRule="atLeas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 xml:space="preserve">UMIEJĘTNOŚCI </w:t>
            </w:r>
          </w:p>
        </w:tc>
      </w:tr>
      <w:tr>
        <w:trPr>
          <w:trHeight w:val="284" w:hRule="atLeast"/>
        </w:trPr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620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uppressAutoHyphens w:val="false"/>
              <w:jc w:val="both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Potrafi posługiwa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 xml:space="preserve">ć 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si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 xml:space="preserve">ę 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poj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ę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ciami dotycz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ą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cymi etycznych i moralnych zasad w zarządzaniu organizacją. Wskazuje uregulowania prawne dotycz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ą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 xml:space="preserve">ce procesów przebiegających i organizujących funkcjonowanie organizacji. </w:t>
            </w:r>
          </w:p>
        </w:tc>
        <w:tc>
          <w:tcPr>
            <w:tcW w:w="12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ZWO_U01</w:t>
            </w: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P7S_UW P7S_UK</w:t>
            </w:r>
          </w:p>
        </w:tc>
      </w:tr>
      <w:tr>
        <w:trPr>
          <w:trHeight w:val="284" w:hRule="atLeast"/>
        </w:trPr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620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uppressAutoHyphens w:val="false"/>
              <w:jc w:val="both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Potrafi oceni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 xml:space="preserve">ć 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i wskaza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 xml:space="preserve">ć 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zasadno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 xml:space="preserve">ść 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wdra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ż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ania zasad moralnych i etycznych w zarządzaniu. Rozumie funkcjonowanie organizacji w oparciu o obowi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ą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zuj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ą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ce przepisy prawne oraz zasady moralne i etyczne.</w:t>
            </w:r>
          </w:p>
        </w:tc>
        <w:tc>
          <w:tcPr>
            <w:tcW w:w="12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ZWO_U03</w:t>
            </w: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P7S_UW P7S_UU</w:t>
            </w:r>
          </w:p>
        </w:tc>
      </w:tr>
      <w:tr>
        <w:trPr>
          <w:trHeight w:val="284" w:hRule="atLeast"/>
        </w:trPr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620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uppressAutoHyphens w:val="false"/>
              <w:jc w:val="both"/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Identyfikuje czynniki warunkuj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ą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ce i ograniczaj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ą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ce proces wdra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ż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ania zasad etyki w zarządzaniu organizacją. Podaje własne rozstrzygni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ę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cia - w oparciu o obowi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ą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zuj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ą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ce zasady - budowania etycznej organizacji.</w:t>
            </w:r>
          </w:p>
        </w:tc>
        <w:tc>
          <w:tcPr>
            <w:tcW w:w="12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ZWO_U04</w:t>
            </w: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P7S_UW P7S_UU</w:t>
            </w:r>
          </w:p>
        </w:tc>
      </w:tr>
      <w:tr>
        <w:trPr>
          <w:trHeight w:val="284" w:hRule="atLeas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eastAsia="Calibri" w:asciiTheme="minorHAnsi" w:hAnsiTheme="minorHAnsi"/>
                <w:color w:val="FF0000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KOMPETENCJE SPOŁECZNE</w:t>
            </w:r>
          </w:p>
        </w:tc>
      </w:tr>
      <w:tr>
        <w:trPr>
          <w:trHeight w:val="284" w:hRule="atLeast"/>
        </w:trPr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620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uppressAutoHyphens w:val="false"/>
              <w:jc w:val="both"/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Prawidłowo identyfikuje i dostrzega dylematy związane z wykonywaniem zawodu, przestrzega i rozwija zasady etyki zawodowej.</w:t>
            </w:r>
          </w:p>
        </w:tc>
        <w:tc>
          <w:tcPr>
            <w:tcW w:w="12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ZWO_K04</w:t>
            </w: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P7S_KR</w:t>
            </w:r>
          </w:p>
        </w:tc>
      </w:tr>
      <w:tr>
        <w:trPr>
          <w:trHeight w:val="397" w:hRule="atLeas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Style w:val="Domylnaczcionkaakapitu1"/>
                <w:rFonts w:eastAsia="Batang" w:ascii="Calibri" w:hAnsi="Calibri" w:asciiTheme="minorHAnsi" w:hAnsiTheme="minorHAnsi"/>
                <w:b/>
                <w:sz w:val="20"/>
                <w:szCs w:val="20"/>
              </w:rPr>
              <w:t>Metody weryfikacji efektów uczenia się</w:t>
            </w:r>
            <w:r>
              <w:rPr>
                <w:rStyle w:val="Domylnaczcionkaakapitu1"/>
                <w:rFonts w:eastAsia="Calibri" w:ascii="Calibri" w:hAnsi="Calibri" w:asciiTheme="minorHAnsi" w:hAnsiTheme="minorHAnsi"/>
                <w:b/>
                <w:sz w:val="20"/>
                <w:szCs w:val="20"/>
                <w:lang w:eastAsia="en-US"/>
              </w:rPr>
              <w:t xml:space="preserve"> dla przedmiotu (przedmiotu) w odniesieniu do form zajęć</w:t>
            </w:r>
          </w:p>
        </w:tc>
      </w:tr>
      <w:tr>
        <w:trPr>
          <w:trHeight w:val="420" w:hRule="atLeast"/>
          <w:cantSplit w:val="true"/>
        </w:trPr>
        <w:tc>
          <w:tcPr>
            <w:tcW w:w="2239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  <w:szCs w:val="20"/>
              </w:rPr>
              <w:t>Efekt uczenia się</w:t>
            </w:r>
          </w:p>
        </w:tc>
        <w:tc>
          <w:tcPr>
            <w:tcW w:w="772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  <w:szCs w:val="20"/>
              </w:rPr>
              <w:t>Forma zajęć dydaktycznych</w:t>
            </w:r>
          </w:p>
        </w:tc>
      </w:tr>
      <w:tr>
        <w:trPr>
          <w:trHeight w:val="1784" w:hRule="atLeast"/>
          <w:cantSplit w:val="true"/>
        </w:trPr>
        <w:tc>
          <w:tcPr>
            <w:tcW w:w="2239" w:type="dxa"/>
            <w:gridSpan w:val="5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</w:rPr>
            </w:r>
          </w:p>
        </w:tc>
        <w:tc>
          <w:tcPr>
            <w:tcW w:w="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left="113" w:right="113" w:hanging="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Egzamin ustny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left="113" w:right="113" w:hanging="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Egzamin pisemny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left="113" w:right="113" w:hanging="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Cząstkowa praca pisemna</w:t>
            </w: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left="113" w:right="113" w:hanging="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Praca pisemna końcowa (np. esej)</w:t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left="113" w:right="113" w:hanging="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Kolokwium</w:t>
            </w: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left="113" w:right="113" w:hanging="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Prezentacja</w:t>
            </w:r>
          </w:p>
        </w:tc>
        <w:tc>
          <w:tcPr>
            <w:tcW w:w="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left="113" w:right="113" w:hanging="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Sprawozdanie</w:t>
            </w: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left="113" w:right="113" w:hanging="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Aktywność na zajęciach</w:t>
            </w:r>
          </w:p>
        </w:tc>
        <w:tc>
          <w:tcPr>
            <w:tcW w:w="1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left="113" w:right="113" w:hanging="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inne ...</w:t>
            </w:r>
          </w:p>
        </w:tc>
      </w:tr>
      <w:tr>
        <w:trPr>
          <w:trHeight w:val="339" w:hRule="exac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WIEDZA</w:t>
            </w:r>
          </w:p>
        </w:tc>
      </w:tr>
      <w:tr>
        <w:trPr>
          <w:trHeight w:val="339" w:hRule="exact"/>
        </w:trPr>
        <w:tc>
          <w:tcPr>
            <w:tcW w:w="2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</w:rPr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1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39" w:hRule="exact"/>
        </w:trPr>
        <w:tc>
          <w:tcPr>
            <w:tcW w:w="2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</w:rPr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1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57" w:hRule="exac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UMIEJĘTNOŚCI</w:t>
            </w:r>
          </w:p>
        </w:tc>
      </w:tr>
      <w:tr>
        <w:trPr>
          <w:trHeight w:val="257" w:hRule="exact"/>
        </w:trPr>
        <w:tc>
          <w:tcPr>
            <w:tcW w:w="2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2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2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KOMPETENCJE SPOŁECZNE</w:t>
            </w:r>
          </w:p>
        </w:tc>
      </w:tr>
      <w:tr>
        <w:trPr>
          <w:trHeight w:val="306" w:hRule="exact"/>
        </w:trPr>
        <w:tc>
          <w:tcPr>
            <w:tcW w:w="2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Kryteria oceniania kompetencji studenta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Poniżej w formie syntetycznej przedstawiono wymagania minimalne dla trzech grup efektów uczenia się, jakie Student musi uzyskać, aby zaliczyć dany przedmiot. Aby Student zaliczył dany przedmiot wszystkie efekty uczenia się opisane w sylabusie muszą być pozytywnie zweryfikowane przez osobę(y) prowadzącą(e) zajęcia w ramach danego przedmiotu.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W - WIEDZA</w:t>
              <w:tab/>
              <w:t>Ocena: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Dostateczny i dostateczny plus – Student zapamiętuje i odtwarza wiedzę przewidzianą do opanowania w ramach przedmiotu;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Dobry i dobry plus – Student dodatkowo interpretuje zjawiska/problemy i potrafi rozwiązać typowy problem;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Bardzo dobry –Student potrafi rozwiązywać nawet złożone problemy z danej dziedziny, potrafi dokonać syntezy, przeprowadzić wszechstronną ocenę, stworzyć dzieło oryginalne, inspirujące innych.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U - UMIEJĘTNOŚCI</w:t>
              <w:tab/>
              <w:t>Ocena: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Dostateczny i dostateczny plus – Student orientuje się w charakterze czynności, potrafi pod kierunkiem nauczyciela akademickiego wykonać czynności/rozwiązać problemy dotyczące treści przedmiotu;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Dobry i dobry plus – Student potrafi samodzielnie wykonać czynności/zadania/rozwiązać typowe problemy dotyczące treści przedmiotu;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Bardzo dobry – Student posiada w pełni opanowaną umiejętność/zdolność wykonania przewidzianych w treściach przedmiotu czynności/zadań/problemów także w bardziej złożonych przypadkach.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K - KOMPETENCJE SPOŁECZNE</w:t>
              <w:tab/>
              <w:t>Ocena: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Dostateczny i dostateczny plus – Student biernie przyswaja treści przedmiotu z wykazaniem zdolności do koncentracji uwagi i słuchania;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Dobry i dobry plus – Student aktywnie uczestniczy w zajęciach, dokonuje ocen wartościujących według kryteriów przyjętych w danej dziedzinie, potrafi aktywnie współdziałać w obrębie grupy;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Bardzo dobry – Student dokonuje integracji postawy zgodnie z sugerowanym wzorcem, rozwija własny system wartości zawodowych i społecznych, potrafi przyjąć odpowiedzialność za działanie grupy, obejmując w niej przewodnictwo.</w:t>
            </w:r>
          </w:p>
        </w:tc>
      </w:tr>
      <w:tr>
        <w:trPr>
          <w:trHeight w:val="397" w:hRule="atLeast"/>
        </w:trPr>
        <w:tc>
          <w:tcPr>
            <w:tcW w:w="850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b/>
                <w:sz w:val="20"/>
                <w:szCs w:val="20"/>
                <w:lang w:eastAsia="en-US"/>
              </w:rPr>
              <w:t>Treść przedmiotu uczenia się (program wykładów i pozostałych zajęć)</w:t>
            </w:r>
          </w:p>
        </w:tc>
        <w:tc>
          <w:tcPr>
            <w:tcW w:w="14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b/>
                <w:sz w:val="20"/>
                <w:szCs w:val="20"/>
                <w:lang w:eastAsia="en-US"/>
              </w:rPr>
              <w:t>Odniesienie do efektów uczenia się</w:t>
            </w:r>
          </w:p>
        </w:tc>
      </w:tr>
      <w:tr>
        <w:trPr>
          <w:trHeight w:val="397" w:hRule="atLeast"/>
        </w:trPr>
        <w:tc>
          <w:tcPr>
            <w:tcW w:w="850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Wprowadzenie do przedmiotu. Komponenty etycznej organizacji. Przestrzeganie zasad moralnych sprawiedliwo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ś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ci, słuszno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ś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ci, praworz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ą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dno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ś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ci i wynikaj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ą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cych z nich reguł post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ę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powania. Standardy etyczne dobrego mened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ż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era, po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żą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danych cech charakteru i metod zarz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ą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dzania personelem firmy. Etyka pracy – prawa i obowi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ą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 xml:space="preserve">zki pracowników. Konflikty w 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ś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rodowisku pracy i ich podło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ż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e. Etyczne sposoby ich przezwyci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ęż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ania. Konsekwencje nieetycznych zachowa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ń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.</w:t>
            </w:r>
          </w:p>
          <w:p>
            <w:pPr>
              <w:pStyle w:val="Normal"/>
              <w:suppressAutoHyphens w:val="false"/>
              <w:jc w:val="both"/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pl-PL"/>
              </w:rPr>
            </w:r>
          </w:p>
          <w:p>
            <w:pPr>
              <w:pStyle w:val="Normal"/>
              <w:suppressAutoHyphens w:val="false"/>
              <w:jc w:val="both"/>
              <w:rPr>
                <w:rFonts w:ascii="Calibri" w:hAnsi="Calibri" w:asciiTheme="minorHAnsi" w:hAnsiTheme="minorHAnsi"/>
                <w:lang w:eastAsia="pl-PL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Patologie w stosunkach pracy i w zarządzaniu organizacją: mobbing, korupcja, lobbing, tzw. szara strefa. Moralno-prawne dylematy reklamy. Struktura i tre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 xml:space="preserve">ść 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wybranych kodeksów etycznych organizacji. Problemy etyczne w organizacjach - studia przypadku.</w:t>
            </w:r>
          </w:p>
        </w:tc>
        <w:tc>
          <w:tcPr>
            <w:tcW w:w="14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  <w:p>
            <w:pPr>
              <w:pStyle w:val="Normal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W1, W2</w:t>
            </w:r>
          </w:p>
          <w:p>
            <w:pPr>
              <w:pStyle w:val="Normal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  <w:p>
            <w:pPr>
              <w:pStyle w:val="Normal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  <w:p>
            <w:pPr>
              <w:pStyle w:val="Normal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  <w:p>
            <w:pPr>
              <w:pStyle w:val="Normal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  <w:p>
            <w:pPr>
              <w:pStyle w:val="Normal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  <w:p>
            <w:pPr>
              <w:pStyle w:val="Normal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U1, U2, U3, K1</w:t>
            </w:r>
          </w:p>
          <w:p>
            <w:pPr>
              <w:pStyle w:val="Normal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b/>
                <w:sz w:val="20"/>
                <w:szCs w:val="20"/>
                <w:lang w:eastAsia="en-US"/>
              </w:rPr>
              <w:t>Zalecana literatura i pomoce naukowe</w:t>
            </w:r>
          </w:p>
        </w:tc>
      </w:tr>
      <w:tr>
        <w:trPr>
          <w:trHeight w:val="1691" w:hRule="atLeas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Web"/>
              <w:spacing w:before="0" w:after="0"/>
              <w:rPr>
                <w:rFonts w:ascii="Calibri" w:hAnsi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  <w:szCs w:val="20"/>
              </w:rPr>
              <w:t>Literatura podstawowa:</w:t>
            </w:r>
          </w:p>
          <w:p>
            <w:pPr>
              <w:pStyle w:val="Przypisdolny"/>
              <w:numPr>
                <w:ilvl w:val="0"/>
                <w:numId w:val="1"/>
              </w:numPr>
              <w:tabs>
                <w:tab w:val="clear" w:pos="708"/>
                <w:tab w:val="left" w:pos="720" w:leader="none"/>
              </w:tabs>
              <w:suppressAutoHyphens w:val="false"/>
              <w:spacing w:before="0" w:after="0"/>
              <w:jc w:val="both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 xml:space="preserve">T. Oleksyn, </w:t>
            </w:r>
            <w:r>
              <w:rPr>
                <w:rFonts w:ascii="Calibri" w:hAnsi="Calibri" w:asciiTheme="minorHAnsi" w:hAnsiTheme="minorHAnsi"/>
                <w:i/>
                <w:iCs/>
                <w:sz w:val="20"/>
              </w:rPr>
              <w:t>Kultura i etyka zarządzania</w:t>
            </w:r>
            <w:r>
              <w:rPr>
                <w:rFonts w:ascii="Calibri" w:hAnsi="Calibri" w:asciiTheme="minorHAnsi" w:hAnsiTheme="minorHAnsi"/>
                <w:sz w:val="20"/>
              </w:rPr>
              <w:t>, Diffin, Warszawa 2021.</w:t>
            </w:r>
          </w:p>
          <w:p>
            <w:pPr>
              <w:pStyle w:val="Przypisdolny"/>
              <w:numPr>
                <w:ilvl w:val="0"/>
                <w:numId w:val="1"/>
              </w:numPr>
              <w:tabs>
                <w:tab w:val="clear" w:pos="708"/>
                <w:tab w:val="left" w:pos="720" w:leader="none"/>
              </w:tabs>
              <w:suppressAutoHyphens w:val="false"/>
              <w:spacing w:before="0" w:after="0"/>
              <w:jc w:val="both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 xml:space="preserve">B. Klimaczak, </w:t>
            </w:r>
            <w:r>
              <w:rPr>
                <w:rFonts w:ascii="Calibri" w:hAnsi="Calibri" w:asciiTheme="minorHAnsi" w:hAnsiTheme="minorHAnsi"/>
                <w:i/>
                <w:iCs/>
                <w:sz w:val="20"/>
              </w:rPr>
              <w:t>Etyka gospodarcza</w:t>
            </w:r>
            <w:r>
              <w:rPr>
                <w:rFonts w:ascii="Calibri" w:hAnsi="Calibri" w:asciiTheme="minorHAnsi" w:hAnsiTheme="minorHAnsi"/>
                <w:sz w:val="20"/>
              </w:rPr>
              <w:t>, Wyd. AE we Wrocławiu, Wrocław 2006.</w:t>
            </w:r>
          </w:p>
          <w:p>
            <w:pPr>
              <w:pStyle w:val="Przypisdolny"/>
              <w:numPr>
                <w:ilvl w:val="0"/>
                <w:numId w:val="1"/>
              </w:numPr>
              <w:tabs>
                <w:tab w:val="clear" w:pos="708"/>
                <w:tab w:val="left" w:pos="720" w:leader="none"/>
              </w:tabs>
              <w:suppressAutoHyphens w:val="false"/>
              <w:spacing w:before="0" w:after="0"/>
              <w:jc w:val="both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 xml:space="preserve">M. Rybak, </w:t>
            </w:r>
            <w:r>
              <w:rPr>
                <w:rFonts w:ascii="Calibri" w:hAnsi="Calibri" w:asciiTheme="minorHAnsi" w:hAnsiTheme="minorHAnsi"/>
                <w:i/>
                <w:iCs/>
                <w:sz w:val="20"/>
              </w:rPr>
              <w:t>Etyka mened</w:t>
            </w:r>
            <w:r>
              <w:rPr>
                <w:rFonts w:cs="TimesNewRoman,Italic" w:ascii="Calibri" w:hAnsi="Calibri" w:asciiTheme="minorHAnsi" w:hAnsiTheme="minorHAnsi"/>
                <w:i/>
                <w:iCs/>
                <w:sz w:val="20"/>
              </w:rPr>
              <w:t>ż</w:t>
            </w:r>
            <w:r>
              <w:rPr>
                <w:rFonts w:ascii="Calibri" w:hAnsi="Calibri" w:asciiTheme="minorHAnsi" w:hAnsiTheme="minorHAnsi"/>
                <w:i/>
                <w:iCs/>
                <w:sz w:val="20"/>
              </w:rPr>
              <w:t>era – społeczna odpowiedzialno</w:t>
            </w:r>
            <w:r>
              <w:rPr>
                <w:rFonts w:cs="TimesNewRoman,Italic" w:ascii="Calibri" w:hAnsi="Calibri" w:asciiTheme="minorHAnsi" w:hAnsiTheme="minorHAnsi"/>
                <w:i/>
                <w:iCs/>
                <w:sz w:val="20"/>
              </w:rPr>
              <w:t xml:space="preserve">ść </w:t>
            </w:r>
            <w:r>
              <w:rPr>
                <w:rFonts w:ascii="Calibri" w:hAnsi="Calibri" w:asciiTheme="minorHAnsi" w:hAnsiTheme="minorHAnsi"/>
                <w:i/>
                <w:iCs/>
                <w:sz w:val="20"/>
              </w:rPr>
              <w:t>przedsi</w:t>
            </w:r>
            <w:r>
              <w:rPr>
                <w:rFonts w:cs="TimesNewRoman,Italic" w:ascii="Calibri" w:hAnsi="Calibri" w:asciiTheme="minorHAnsi" w:hAnsiTheme="minorHAnsi"/>
                <w:i/>
                <w:iCs/>
                <w:sz w:val="20"/>
              </w:rPr>
              <w:t>ę</w:t>
            </w:r>
            <w:r>
              <w:rPr>
                <w:rFonts w:ascii="Calibri" w:hAnsi="Calibri" w:asciiTheme="minorHAnsi" w:hAnsiTheme="minorHAnsi"/>
                <w:i/>
                <w:iCs/>
                <w:sz w:val="20"/>
              </w:rPr>
              <w:t>biorstwa</w:t>
            </w:r>
            <w:r>
              <w:rPr>
                <w:rFonts w:ascii="Calibri" w:hAnsi="Calibri" w:asciiTheme="minorHAnsi" w:hAnsiTheme="minorHAnsi"/>
                <w:sz w:val="20"/>
              </w:rPr>
              <w:t>, Wyd. PWN, Warszawa 2005.</w:t>
            </w:r>
          </w:p>
          <w:p>
            <w:pPr>
              <w:pStyle w:val="Normal"/>
              <w:suppressAutoHyphens w:val="false"/>
              <w:rPr>
                <w:rFonts w:ascii="Calibri" w:hAnsi="Calibri" w:asciiTheme="minorHAnsi" w:hAnsiTheme="minorHAnsi"/>
                <w:b/>
                <w:b/>
                <w:sz w:val="20"/>
                <w:szCs w:val="20"/>
                <w:lang w:eastAsia="pl-PL"/>
              </w:rPr>
            </w:pPr>
            <w:r>
              <w:rPr>
                <w:rFonts w:ascii="Calibri" w:hAnsi="Calibri" w:asciiTheme="minorHAnsi" w:hAnsiTheme="minorHAnsi"/>
                <w:b/>
                <w:sz w:val="20"/>
                <w:szCs w:val="20"/>
                <w:lang w:eastAsia="pl-PL"/>
              </w:rPr>
              <w:t>Literatura uzupełniaj</w:t>
            </w:r>
            <w:r>
              <w:rPr>
                <w:rFonts w:eastAsia="TimesNewRoman" w:cs="TimesNewRoman" w:ascii="Calibri" w:hAnsi="Calibri" w:asciiTheme="minorHAnsi" w:hAnsiTheme="minorHAnsi"/>
                <w:b/>
                <w:sz w:val="20"/>
                <w:szCs w:val="20"/>
                <w:lang w:eastAsia="pl-PL"/>
              </w:rPr>
              <w:t>ą</w:t>
            </w:r>
            <w:r>
              <w:rPr>
                <w:rFonts w:ascii="Calibri" w:hAnsi="Calibri" w:asciiTheme="minorHAnsi" w:hAnsiTheme="minorHAnsi"/>
                <w:b/>
                <w:sz w:val="20"/>
                <w:szCs w:val="20"/>
                <w:lang w:eastAsia="pl-PL"/>
              </w:rPr>
              <w:t>ca: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false"/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 xml:space="preserve">I. Mendry, </w:t>
            </w:r>
            <w:r>
              <w:rPr>
                <w:rFonts w:ascii="Calibri" w:hAnsi="Calibri" w:asciiTheme="minorHAnsi" w:hAnsiTheme="minorHAnsi"/>
                <w:i/>
                <w:iCs/>
                <w:sz w:val="20"/>
                <w:szCs w:val="20"/>
                <w:lang w:eastAsia="pl-PL"/>
              </w:rPr>
              <w:t>Zarządzanie zasobami ludzkimi w nowej przestrzeni fizycznej i społecznej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Calibri" w:hAnsi="Calibri" w:asciiTheme="minorHAnsi" w:hAnsiTheme="minorHAnsi"/>
                <w:sz w:val="20"/>
              </w:rPr>
              <w:t>Diffin, Warszawa 2021.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false"/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 xml:space="preserve">B. Klimaczak, </w:t>
            </w:r>
            <w:r>
              <w:rPr>
                <w:rFonts w:ascii="Calibri" w:hAnsi="Calibri" w:asciiTheme="minorHAnsi" w:hAnsiTheme="minorHAnsi"/>
                <w:i/>
                <w:iCs/>
                <w:sz w:val="20"/>
                <w:szCs w:val="20"/>
                <w:lang w:eastAsia="pl-PL"/>
              </w:rPr>
              <w:t>Etyczne otoczenie rynku kapitałowego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, Wyd. AE we Wrocławiu, Wrocław 2006.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false"/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 xml:space="preserve">J.Filek, </w:t>
            </w:r>
            <w:r>
              <w:rPr>
                <w:rFonts w:ascii="Calibri" w:hAnsi="Calibri" w:asciiTheme="minorHAnsi" w:hAnsiTheme="minorHAnsi"/>
                <w:i/>
                <w:iCs/>
                <w:sz w:val="20"/>
                <w:szCs w:val="20"/>
                <w:lang w:eastAsia="pl-PL"/>
              </w:rPr>
              <w:t>Wprowadzenie do etyki gospodarczej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, Wyd. AE w Krakowie, Kraków 2005.</w:t>
            </w:r>
          </w:p>
        </w:tc>
      </w:tr>
      <w:tr>
        <w:trPr>
          <w:trHeight w:val="397" w:hRule="atLeast"/>
        </w:trPr>
        <w:tc>
          <w:tcPr>
            <w:tcW w:w="9923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Bilans punktów ECTS</w:t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99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Forma nakładu pracy studenta</w:t>
            </w:r>
          </w:p>
          <w:p>
            <w:pPr>
              <w:pStyle w:val="Normal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(udział w zajęciach, aktywność, przygotowanie sprawozdania, itp.)</w:t>
            </w:r>
          </w:p>
        </w:tc>
        <w:tc>
          <w:tcPr>
            <w:tcW w:w="29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Obciążenie studenta [h]</w:t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9923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</w:t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23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Udział w wykładach</w:t>
            </w:r>
          </w:p>
        </w:tc>
        <w:tc>
          <w:tcPr>
            <w:tcW w:w="29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1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Udział w konwersatoriach</w:t>
            </w:r>
          </w:p>
        </w:tc>
        <w:tc>
          <w:tcPr>
            <w:tcW w:w="29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kern w:val="2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9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Udział w ćwiczeniach</w:t>
            </w:r>
          </w:p>
        </w:tc>
        <w:tc>
          <w:tcPr>
            <w:tcW w:w="29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kern w:val="2"/>
                <w:sz w:val="20"/>
                <w:szCs w:val="20"/>
                <w:lang w:eastAsia="en-US"/>
              </w:rPr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65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Udział w zajęciach laboratoryjnych</w:t>
            </w:r>
          </w:p>
        </w:tc>
        <w:tc>
          <w:tcPr>
            <w:tcW w:w="29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kern w:val="2"/>
                <w:sz w:val="20"/>
                <w:szCs w:val="20"/>
                <w:lang w:eastAsia="en-US"/>
              </w:rPr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7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 xml:space="preserve">Udział w konsultacjach </w:t>
            </w:r>
          </w:p>
        </w:tc>
        <w:tc>
          <w:tcPr>
            <w:tcW w:w="29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39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Udział w egzaminie/kolokwium zaliczeniowym przedmiotu</w:t>
            </w:r>
          </w:p>
        </w:tc>
        <w:tc>
          <w:tcPr>
            <w:tcW w:w="29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kern w:val="2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99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29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kern w:val="2"/>
                <w:sz w:val="20"/>
                <w:szCs w:val="20"/>
                <w:lang w:eastAsia="en-US"/>
              </w:rPr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1.8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 (suma pozycji 1.1 – 1.7)</w:t>
            </w:r>
          </w:p>
        </w:tc>
        <w:tc>
          <w:tcPr>
            <w:tcW w:w="29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1.9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Liczba punktów ECTS, uzyskiwanych przez studenta podczas zajęć wymagających bezpośredniego udziału nauczyciela akademickiego)</w:t>
            </w:r>
          </w:p>
          <w:p>
            <w:pPr>
              <w:pStyle w:val="Normal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29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0,8</w:t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9923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Samodzielna praca studenta</w:t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99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Przygotowanie do wykładów, ćwiczeń, kolokwiów, sprawozdań, raportów, prac semestralnych, itp.</w:t>
            </w:r>
          </w:p>
        </w:tc>
        <w:tc>
          <w:tcPr>
            <w:tcW w:w="29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kern w:val="2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5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Realizacja samodzielnie wykonywanych zadań zlecanych przez prowadzącego</w:t>
            </w:r>
          </w:p>
        </w:tc>
        <w:tc>
          <w:tcPr>
            <w:tcW w:w="29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kern w:val="2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0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Przygotowanie do kolokwium końcowego z ćwiczeń/laboratorium</w:t>
            </w:r>
          </w:p>
        </w:tc>
        <w:tc>
          <w:tcPr>
            <w:tcW w:w="29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41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Przygotowanie do egzaminu/kolokwium końcowego z wykładów</w:t>
            </w:r>
          </w:p>
        </w:tc>
        <w:tc>
          <w:tcPr>
            <w:tcW w:w="29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kern w:val="2"/>
                <w:sz w:val="20"/>
                <w:szCs w:val="20"/>
                <w:lang w:eastAsia="en-US"/>
              </w:rPr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73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29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kern w:val="2"/>
                <w:sz w:val="20"/>
                <w:szCs w:val="20"/>
                <w:lang w:eastAsia="en-US"/>
              </w:rPr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05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Liczba godzin samodzielnej pracy studenta (suma 2.1 – 2.5)</w:t>
            </w:r>
          </w:p>
        </w:tc>
        <w:tc>
          <w:tcPr>
            <w:tcW w:w="29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56</w:t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Style w:val="Domylnaczcionkaakapitu1"/>
                <w:rFonts w:ascii="Calibri" w:hAnsi="Calibri" w:eastAsia="Calibri"/>
                <w:b/>
                <w:b/>
                <w:kern w:val="2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Style w:val="Domylnaczcionkaakapitu1"/>
                <w:rFonts w:eastAsia="Calibri" w:ascii="Calibri" w:hAnsi="Calibri"/>
                <w:b/>
                <w:sz w:val="20"/>
                <w:szCs w:val="20"/>
                <w:lang w:eastAsia="en-US"/>
              </w:rPr>
              <w:t xml:space="preserve">Liczba punktów ECTS, uzyskiwanych przez studenta w ramach samodzielnej pracy </w:t>
            </w:r>
            <w:r>
              <w:rPr>
                <w:rStyle w:val="Domylnaczcionkaakapitu1"/>
                <w:rFonts w:eastAsia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29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2,2</w:t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99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Sumaryczne obciążenie pracą studenta (suma 1.8+2.6)</w:t>
            </w:r>
          </w:p>
        </w:tc>
        <w:tc>
          <w:tcPr>
            <w:tcW w:w="29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99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right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Punkty ECTS za przedmiot (suma 1.9+2.7)</w:t>
            </w:r>
          </w:p>
        </w:tc>
        <w:tc>
          <w:tcPr>
            <w:tcW w:w="29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9923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Nakład pracy związany z zajęciami o charakterze kształtującym umiejętności praktyczne, w tym:</w:t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99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Zajęcia praktyczne (Wydział Nauk o Zdrowiu i Wydział Nauk Medycznych)</w:t>
            </w:r>
          </w:p>
        </w:tc>
        <w:tc>
          <w:tcPr>
            <w:tcW w:w="29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b/>
                <w:b/>
                <w:color w:val="FF0000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color w:val="FF0000"/>
                <w:kern w:val="2"/>
                <w:sz w:val="20"/>
                <w:szCs w:val="20"/>
                <w:lang w:eastAsia="en-US"/>
              </w:rPr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99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Zajęcia o charakterze kształtującym umiejętności praktyczne (1.2 – 1.4, 2.2 i 2.5)</w:t>
            </w:r>
          </w:p>
        </w:tc>
        <w:tc>
          <w:tcPr>
            <w:tcW w:w="29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/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99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Praktyka zawodowa</w:t>
            </w:r>
          </w:p>
        </w:tc>
        <w:tc>
          <w:tcPr>
            <w:tcW w:w="29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kern w:val="2"/>
                <w:sz w:val="20"/>
                <w:szCs w:val="20"/>
                <w:lang w:eastAsia="en-US"/>
              </w:rPr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99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Łączny nakład pracy związany z zajęciami o charakterze kształtującym umiejętności praktyczne</w:t>
            </w:r>
          </w:p>
        </w:tc>
        <w:tc>
          <w:tcPr>
            <w:tcW w:w="29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/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99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Liczba punktów ECTS, uzyskiwanych przez studenta w ramach zajęć o charakterze kształtującym umiejętności praktyczne</w:t>
            </w:r>
          </w:p>
          <w:p>
            <w:pPr>
              <w:pStyle w:val="Normal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29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/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9923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Uwagi</w:t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21" w:hRule="atLeast"/>
        </w:trPr>
        <w:tc>
          <w:tcPr>
            <w:tcW w:w="9923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kern w:val="2"/>
                <w:sz w:val="20"/>
                <w:szCs w:val="20"/>
                <w:lang w:eastAsia="en-US"/>
              </w:rPr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22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Strona internetowa przedmiotu:</w:t>
            </w:r>
          </w:p>
        </w:tc>
        <w:tc>
          <w:tcPr>
            <w:tcW w:w="771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kern w:val="2"/>
                <w:sz w:val="20"/>
                <w:szCs w:val="20"/>
                <w:lang w:eastAsia="en-US"/>
              </w:rPr>
            </w:r>
          </w:p>
        </w:tc>
        <w:tc>
          <w:tcPr>
            <w:tcW w:w="3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rFonts w:eastAsia="Calibri"/>
          <w:kern w:val="2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*</w:t>
      </w:r>
      <w:r>
        <w:rPr/>
        <w:t xml:space="preserve"> </w:t>
      </w:r>
      <w:r>
        <w:rPr>
          <w:rFonts w:eastAsia="Calibri"/>
          <w:sz w:val="20"/>
          <w:szCs w:val="20"/>
          <w:lang w:eastAsia="en-US"/>
        </w:rPr>
        <w:t xml:space="preserve">odniesienie kierunkowych efektów uczenia się zgodnych z Ustawą z dnia 22 grudnia 2015 roku </w:t>
      </w:r>
      <w:r>
        <w:rPr>
          <w:rFonts w:eastAsia="Calibri"/>
          <w:i/>
          <w:sz w:val="20"/>
          <w:szCs w:val="20"/>
          <w:lang w:eastAsia="en-US"/>
        </w:rPr>
        <w:t>o Zintegrowanym Systemie Kwalifikacj</w:t>
      </w:r>
      <w:r>
        <w:rPr>
          <w:rFonts w:eastAsia="Calibri"/>
          <w:sz w:val="20"/>
          <w:szCs w:val="20"/>
          <w:lang w:eastAsia="en-US"/>
        </w:rPr>
        <w:t xml:space="preserve">i, t.j. Dz. U. 2018, poz. 2153 oraz z Rozporządzeniem Ministra Nauki i Szkolnictwa Wyższego z dnia 14 listopada 2018 roku </w:t>
      </w:r>
      <w:r>
        <w:rPr>
          <w:rFonts w:eastAsia="Calibri"/>
          <w:i/>
          <w:sz w:val="20"/>
          <w:szCs w:val="20"/>
          <w:lang w:eastAsia="en-US"/>
        </w:rPr>
        <w:t>w sprawie charakterystyk drugiego stopnia uczenia się dla kwalifikacji na poziomach 6-8 Polskiej Ramy Kwalifikacji</w:t>
      </w:r>
      <w:r>
        <w:rPr>
          <w:rFonts w:eastAsia="Calibri"/>
          <w:sz w:val="20"/>
          <w:szCs w:val="20"/>
          <w:lang w:eastAsia="en-US"/>
        </w:rPr>
        <w:t>, Dz. U. 2018, poz. 2218.</w:t>
      </w:r>
    </w:p>
    <w:p>
      <w:pPr>
        <w:pStyle w:val="Normal"/>
        <w:rPr>
          <w:rFonts w:ascii="Calibri" w:hAnsi="Calibri" w:eastAsia="Calibri"/>
          <w:sz w:val="20"/>
          <w:szCs w:val="20"/>
          <w:lang w:eastAsia="en-US"/>
        </w:rPr>
      </w:pPr>
      <w:r>
        <w:rPr>
          <w:rFonts w:eastAsia="Calibri" w:ascii="Calibri" w:hAnsi="Calibri"/>
          <w:sz w:val="20"/>
          <w:szCs w:val="20"/>
          <w:lang w:eastAsia="en-US"/>
        </w:rPr>
      </w:r>
    </w:p>
    <w:p>
      <w:pPr>
        <w:pStyle w:val="Normal"/>
        <w:rPr/>
      </w:pPr>
      <w:r>
        <w:rPr/>
      </w:r>
    </w:p>
    <w:p>
      <w:pPr>
        <w:pStyle w:val="Normal"/>
        <w:rPr>
          <w:rFonts w:ascii="Calibri" w:hAnsi="Calibri" w:eastAsia="Calibri"/>
          <w:sz w:val="20"/>
          <w:szCs w:val="20"/>
          <w:lang w:eastAsia="en-US"/>
        </w:rPr>
      </w:pPr>
      <w:r>
        <w:rPr>
          <w:rFonts w:eastAsia="Calibri" w:ascii="Calibri" w:hAnsi="Calibri"/>
          <w:sz w:val="20"/>
          <w:szCs w:val="20"/>
          <w:lang w:eastAsia="en-US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onsolas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 Unicode MS">
    <w:charset w:val="ee"/>
    <w:family w:val="roman"/>
    <w:pitch w:val="variable"/>
  </w:font>
  <w:font w:name="Arial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5"/>
  <w:defaultTabStop w:val="708"/>
  <w:autoHyphenation w:val="true"/>
  <w:compat>
    <w:compatSetting w:name="compatibilityMode" w:uri="http://schemas.microsoft.com/office/word" w:val="12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5814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ar-SA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omylnaczcionkaakapitu1" w:customStyle="1">
    <w:name w:val="Domyślna czcionka akapitu1"/>
    <w:qFormat/>
    <w:rsid w:val="00825814"/>
    <w:rPr/>
  </w:style>
  <w:style w:type="character" w:styleId="TekstprzypisudolnegoZnak" w:customStyle="1">
    <w:name w:val="Tekst przypisu dolnego Znak"/>
    <w:basedOn w:val="DefaultParagraphFont"/>
    <w:link w:val="Tekstprzypisudolnego"/>
    <w:qFormat/>
    <w:rsid w:val="00825814"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HTMLwstpniesformatowanyZnak" w:customStyle="1">
    <w:name w:val="HTML - wstępnie sformatowany Znak"/>
    <w:basedOn w:val="DefaultParagraphFont"/>
    <w:uiPriority w:val="99"/>
    <w:semiHidden/>
    <w:qFormat/>
    <w:rsid w:val="00825814"/>
    <w:rPr>
      <w:rFonts w:ascii="Consolas" w:hAnsi="Consolas" w:eastAsia="Times New Roman" w:cs="Consolas"/>
      <w:sz w:val="20"/>
      <w:szCs w:val="20"/>
      <w:lang w:eastAsia="ar-SA"/>
    </w:rPr>
  </w:style>
  <w:style w:type="character" w:styleId="HTMLwstpniesformatowanyZnak1" w:customStyle="1">
    <w:name w:val="HTML - wstępnie sformatowany Znak1"/>
    <w:basedOn w:val="DefaultParagraphFont"/>
    <w:link w:val="HTML-wstpniesformatowany"/>
    <w:semiHidden/>
    <w:qFormat/>
    <w:rsid w:val="00825814"/>
    <w:rPr>
      <w:rFonts w:ascii="Courier New" w:hAnsi="Courier New" w:eastAsia="Times New Roman" w:cs="Courier New"/>
      <w:sz w:val="20"/>
      <w:szCs w:val="20"/>
      <w:lang w:eastAsia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Przypisdolny">
    <w:name w:val="Footnote Text"/>
    <w:basedOn w:val="Normal"/>
    <w:link w:val="TekstprzypisudolnegoZnak"/>
    <w:rsid w:val="00825814"/>
    <w:pPr>
      <w:spacing w:before="280" w:after="280"/>
    </w:pPr>
    <w:rPr/>
  </w:style>
  <w:style w:type="paragraph" w:styleId="NormalWeb">
    <w:name w:val="Normal (Web)"/>
    <w:basedOn w:val="Normal"/>
    <w:semiHidden/>
    <w:qFormat/>
    <w:rsid w:val="00825814"/>
    <w:pPr>
      <w:spacing w:before="280" w:after="280"/>
    </w:pPr>
    <w:rPr>
      <w:rFonts w:ascii="Arial Unicode MS" w:hAnsi="Arial Unicode MS" w:eastAsia="Arial Unicode MS" w:cs="Arial Unicode MS"/>
    </w:rPr>
  </w:style>
  <w:style w:type="paragraph" w:styleId="Xl442" w:customStyle="1">
    <w:name w:val="xl442"/>
    <w:basedOn w:val="Normal"/>
    <w:qFormat/>
    <w:rsid w:val="00825814"/>
    <w:pPr>
      <w:suppressAutoHyphens w:val="false"/>
      <w:spacing w:beforeAutospacing="1" w:afterAutospacing="1"/>
    </w:pPr>
    <w:rPr>
      <w:rFonts w:ascii="Arial" w:hAnsi="Arial" w:eastAsia="Arial Unicode MS" w:cs="Arial Unicode MS"/>
      <w:b/>
      <w:bCs/>
      <w:lang w:eastAsia="pl-PL"/>
    </w:rPr>
  </w:style>
  <w:style w:type="paragraph" w:styleId="Zawartotabeli" w:customStyle="1">
    <w:name w:val="Zawartość tabeli"/>
    <w:basedOn w:val="Normal"/>
    <w:qFormat/>
    <w:rsid w:val="00825814"/>
    <w:pPr>
      <w:widowControl w:val="false"/>
      <w:suppressLineNumbers/>
      <w:spacing w:lineRule="atLeast" w:line="100"/>
      <w:textAlignment w:val="baseline"/>
    </w:pPr>
    <w:rPr>
      <w:rFonts w:eastAsia="SimSun"/>
      <w:kern w:val="2"/>
      <w:lang w:eastAsia="zh-CN"/>
    </w:rPr>
  </w:style>
  <w:style w:type="paragraph" w:styleId="HTMLPreformatted">
    <w:name w:val="HTML Preformatted"/>
    <w:basedOn w:val="Normal"/>
    <w:link w:val="HTML-wstpniesformatowanyZnak1"/>
    <w:semiHidden/>
    <w:unhideWhenUsed/>
    <w:qFormat/>
    <w:rsid w:val="00825814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uppressAutoHyphens w:val="false"/>
    </w:pPr>
    <w:rPr>
      <w:rFonts w:ascii="Courier New" w:hAnsi="Courier New" w:cs="Courier New"/>
      <w:sz w:val="20"/>
      <w:szCs w:val="20"/>
      <w:lang w:eastAsia="pl-P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Application>LibreOffice/6.4.6.2$Windows_X86_64 LibreOffice_project/0ce51a4fd21bff07a5c061082cc82c5ed232f115</Application>
  <Pages>4</Pages>
  <Words>1227</Words>
  <Characters>8189</Characters>
  <CharactersWithSpaces>9224</CharactersWithSpaces>
  <Paragraphs>214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2020-02-26T09:11:00Z</dcterms:created>
  <dc:creator>Emilia</dc:creator>
  <dc:description/>
  <dc:language>pl-PL</dc:language>
  <cp:lastModifiedBy/>
  <dcterms:modified xsi:type="dcterms:W3CDTF">2023-02-23T22:31:42Z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